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138320.xml.htm"/>
      <w:bookmarkStart w:id="1" w:name="kswkform4_17791383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Dovrat Shlomo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TEADS HOLDING CO.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WEST 19TH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Teads Holding Co.</w:t>
              </w:r>
            </w:hyperlink>
            <w:r>
              <w:rPr/>
              <w:t xml:space="preserve"> [ </w:t>
            </w:r>
            <w:r>
              <w:rPr>
                <w:rFonts w:ascii="Times;serif" w:hAnsi="Times;serif"/>
                <w:color w:val="0000FF"/>
                <w:sz w:val="24"/>
                <w:shd w:fill="FFFFFF" w:val="clear"/>
              </w:rPr>
              <w:t>TEAD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610"/>
        <w:gridCol w:w="1272"/>
        <w:gridCol w:w="990"/>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6,345,789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granted pursuant to the Issuer's 2021 Long-Term Incentive Plan which vest in twelve equal increments over a period of three years beginning June 5, 2026, and on each quarterly anniversary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Viola Ventures III, L.P. ("Viola Ventures"). Viola Ventures GP 3 Ltd. ("Viola") is the general partner of Viola Ventures (together with Viola, the "Viola Entities") and possesses sole voting and dispositive power over these shares. The reporting person, through his position, relationship and/or affiliation with the Viola Entities, may have shared voting and investment power with respect to the shares beneficially owned by Viola Ventures. As such, the reporting person may be deemed to have or share beneficial ownership of the shares beneficially owned by Viola Ventures. The reporting person disclaims beneficial ownership of these shares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Veronica Gonzalez,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4246" TargetMode="External"/><Relationship Id="rId5" Type="http://schemas.openxmlformats.org/officeDocument/2006/relationships/hyperlink" Target="http://www.sec.gov/cgi-bin/browse-edgar?action=getcompany&amp;CIK=00014549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3900</Characters>
  <CharactersWithSpaces>4551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