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3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5, 2026</w:t>
      </w:r>
    </w:p>
    <w:p>
      <w:pPr>
        <w:spacing w:after="0" w:line="16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Teads Holding Co.</w:t>
      </w:r>
    </w:p>
    <w:p>
      <w:pPr>
        <w:spacing w:after="0" w:line="5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1440" w:right="419" w:bottom="1440" w:gutter="0" w:footer="0" w:header="0"/>
        </w:sectPr>
      </w:pPr>
    </w:p>
    <w:p>
      <w:pPr>
        <w:spacing w:after="0" w:line="161"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7"/>
          <w:szCs w:val="17"/>
          <w:b w:val="1"/>
          <w:bCs w:val="1"/>
          <w:color w:val="auto"/>
        </w:rPr>
        <w:t>001-40643</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20-5391629</w:t>
      </w:r>
    </w:p>
    <w:p>
      <w:pPr>
        <w:spacing w:after="0" w:line="94" w:lineRule="exact"/>
        <w:rPr>
          <w:sz w:val="24"/>
          <w:szCs w:val="24"/>
          <w:color w:val="auto"/>
        </w:rPr>
      </w:pPr>
    </w:p>
    <w:p>
      <w:pPr>
        <w:sectPr>
          <w:pgSz w:w="11900" w:h="16838" w:orient="portrait"/>
          <w:cols w:equalWidth="0" w:num="3">
            <w:col w:w="4500" w:space="720"/>
            <w:col w:w="3060" w:space="720"/>
            <w:col w:w="2160"/>
          </w:cols>
          <w:pgMar w:left="320" w:top="1440" w:right="419" w:bottom="1440" w:gutter="0" w:footer="0" w:header="0"/>
          <w:type w:val="continuous"/>
        </w:sectPr>
      </w:pPr>
    </w:p>
    <w:p>
      <w:pPr>
        <w:jc w:val="center"/>
        <w:ind w:right="32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48"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8"/>
          <w:szCs w:val="18"/>
          <w:color w:val="auto"/>
        </w:rPr>
        <w:t>(IRS Employer</w:t>
      </w:r>
    </w:p>
    <w:p>
      <w:pPr>
        <w:spacing w:after="0" w:line="3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880" w:space="720"/>
            <w:col w:w="3460" w:space="720"/>
            <w:col w:w="2380"/>
          </w:cols>
          <w:pgMar w:left="320" w:top="1440" w:right="419" w:bottom="1440" w:gutter="0" w:footer="0" w:header="0"/>
          <w:type w:val="continuous"/>
        </w:sectPr>
      </w:pPr>
    </w:p>
    <w:p>
      <w:pPr>
        <w:spacing w:after="0" w:line="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111 West 19th Street</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New York, NY 10011</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(646) 867-0149</w:t>
      </w:r>
    </w:p>
    <w:p>
      <w:pPr>
        <w:spacing w:after="0" w:line="26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160"/>
          </w:cols>
          <w:pgMar w:left="320" w:top="1440" w:right="419" w:bottom="1440" w:gutter="0" w:footer="0" w:header="0"/>
          <w:type w:val="continuous"/>
        </w:sectPr>
      </w:pPr>
    </w:p>
    <w:p>
      <w:pPr>
        <w:spacing w:after="0" w:line="234" w:lineRule="exact"/>
        <w:rPr>
          <w:sz w:val="24"/>
          <w:szCs w:val="24"/>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63"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300" w:type="dxa"/>
            <w:vAlign w:val="bottom"/>
          </w:tcPr>
          <w:p>
            <w:pPr>
              <w:spacing w:after="0"/>
              <w:rPr>
                <w:sz w:val="18"/>
                <w:szCs w:val="18"/>
                <w:color w:val="auto"/>
              </w:rPr>
            </w:pPr>
          </w:p>
        </w:tc>
        <w:tc>
          <w:tcPr>
            <w:tcW w:w="2800" w:type="dxa"/>
            <w:vAlign w:val="bottom"/>
            <w:gridSpan w:val="3"/>
          </w:tcPr>
          <w:p>
            <w:pPr>
              <w:jc w:val="center"/>
              <w:ind w:right="15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880" w:type="dxa"/>
            <w:vAlign w:val="bottom"/>
          </w:tcPr>
          <w:p>
            <w:pPr>
              <w:spacing w:after="0"/>
              <w:rPr>
                <w:sz w:val="18"/>
                <w:szCs w:val="18"/>
                <w:color w:val="auto"/>
              </w:rPr>
            </w:pPr>
          </w:p>
        </w:tc>
        <w:tc>
          <w:tcPr>
            <w:tcW w:w="408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61"/>
        </w:trPr>
        <w:tc>
          <w:tcPr>
            <w:tcW w:w="1300" w:type="dxa"/>
            <w:vAlign w:val="bottom"/>
            <w:tcBorders>
              <w:bottom w:val="single" w:sz="8" w:color="auto"/>
            </w:tcBorders>
          </w:tcPr>
          <w:p>
            <w:pPr>
              <w:spacing w:after="0"/>
              <w:rPr>
                <w:sz w:val="5"/>
                <w:szCs w:val="5"/>
                <w:color w:val="auto"/>
              </w:rPr>
            </w:pPr>
          </w:p>
        </w:tc>
        <w:tc>
          <w:tcPr>
            <w:tcW w:w="1300" w:type="dxa"/>
            <w:vAlign w:val="bottom"/>
            <w:tcBorders>
              <w:top w:val="single" w:sz="8" w:color="auto"/>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40" w:type="dxa"/>
            <w:vAlign w:val="bottom"/>
            <w:tcBorders>
              <w:top w:val="single" w:sz="8" w:color="auto"/>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180" w:type="dxa"/>
            <w:vAlign w:val="bottom"/>
            <w:tcBorders>
              <w:top w:val="single" w:sz="8" w:color="auto"/>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50"/>
        </w:trPr>
        <w:tc>
          <w:tcPr>
            <w:tcW w:w="410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240" w:type="dxa"/>
            <w:vAlign w:val="bottom"/>
            <w:shd w:val="clear" w:color="auto" w:fill="CCEEFF"/>
          </w:tcPr>
          <w:p>
            <w:pPr>
              <w:spacing w:after="0"/>
              <w:rPr>
                <w:sz w:val="21"/>
                <w:szCs w:val="21"/>
                <w:color w:val="auto"/>
              </w:rPr>
            </w:pPr>
          </w:p>
        </w:tc>
        <w:tc>
          <w:tcPr>
            <w:tcW w:w="1800" w:type="dxa"/>
            <w:vAlign w:val="bottom"/>
            <w:gridSpan w:val="3"/>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TEAD</w:t>
            </w:r>
          </w:p>
        </w:tc>
        <w:tc>
          <w:tcPr>
            <w:tcW w:w="880" w:type="dxa"/>
            <w:vAlign w:val="bottom"/>
            <w:shd w:val="clear" w:color="auto" w:fill="CCEEFF"/>
          </w:tcPr>
          <w:p>
            <w:pPr>
              <w:spacing w:after="0"/>
              <w:rPr>
                <w:sz w:val="21"/>
                <w:szCs w:val="21"/>
                <w:color w:val="auto"/>
              </w:rPr>
            </w:pPr>
          </w:p>
        </w:tc>
        <w:tc>
          <w:tcPr>
            <w:tcW w:w="4080" w:type="dxa"/>
            <w:vAlign w:val="bottom"/>
            <w:gridSpan w:val="2"/>
            <w:shd w:val="clear" w:color="auto" w:fill="CCEEFF"/>
          </w:tcPr>
          <w:p>
            <w:pPr>
              <w:jc w:val="center"/>
              <w:ind w:right="90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40"/>
        </w:trPr>
        <w:tc>
          <w:tcPr>
            <w:tcW w:w="13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31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bl>
    <w:p>
      <w:pPr>
        <w:spacing w:after="0" w:line="198" w:lineRule="exact"/>
        <w:rPr>
          <w:sz w:val="24"/>
          <w:szCs w:val="24"/>
          <w:color w:val="auto"/>
        </w:rPr>
      </w:pPr>
    </w:p>
    <w:p>
      <w:pPr>
        <w:ind w:right="400"/>
        <w:spacing w:after="0" w:line="31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80"/>
        <w:spacing w:after="0" w:line="24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1144270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1" w:name="page2"/>
    <w:bookmarkEnd w:id="1"/>
    <w:p>
      <w:pPr>
        <w:spacing w:after="0" w:line="38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8.01.</w:t>
      </w:r>
      <w:r>
        <w:rPr>
          <w:sz w:val="20"/>
          <w:szCs w:val="20"/>
          <w:color w:val="auto"/>
        </w:rPr>
        <w:tab/>
      </w:r>
      <w:r>
        <w:rPr>
          <w:rFonts w:ascii="Times New Roman" w:cs="Times New Roman" w:eastAsia="Times New Roman" w:hAnsi="Times New Roman"/>
          <w:sz w:val="19"/>
          <w:szCs w:val="19"/>
          <w:b w:val="1"/>
          <w:bCs w:val="1"/>
          <w:color w:val="auto"/>
        </w:rPr>
        <w:t>Other Events.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previously disclosed, on December 22, 2025, Teads Holding Co. (the “Company”) received a written notice from the Listing Qualifications Department of The Nasdaq Stock Market LLC (“Nasdaq”) notifying the Company that it was not in compliance with Nasdaq Listing Rule 5450(a)(1), as the closing bid price of the Company’s common stock had been below the required minimum of $1.00 per share (the “Minimum Bid Price Requirement”) for 30 consecutive business days. In accordance with Nasdaq Listing Rule 5810(c)(3)(A), the Company was granted an initial compliance period of 180 calendar days, or until June 22, 2026, to regain compliance with the Minimum Bid Price Requirement.</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June 5, 2026, the Company received a written notice from Nasdaq stating that the Company has regained compliance with the Minimum Bid Price Requirement, and that the matter is now closed. Specifically, Nasdaq determined that, for each consecutive business day from May 18, 2026 to June 4, 2026, the closing bid price of the Company’s common stock had been at $1.00 per share or greater. The Company’s common stock continues to be listed and traded on The Nasdaq Global Select Market under the trading symbol “TEAD”.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Company has duly caused this report on Form 8-K to be signed on its behalf by the undersigned hereunto duly authorized.</w:t>
      </w:r>
    </w:p>
    <w:p>
      <w:pPr>
        <w:spacing w:after="0" w:line="25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b w:val="1"/>
          <w:bCs w:val="1"/>
          <w:color w:val="auto"/>
        </w:rPr>
        <w:t>TEADS HOLDING CO.</w:t>
      </w:r>
    </w:p>
    <w:p>
      <w:pPr>
        <w:spacing w:after="0" w:line="328"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20"/>
          <w:szCs w:val="20"/>
          <w:color w:val="auto"/>
        </w:rPr>
        <w:t>Date: June 8, 2026</w:t>
      </w:r>
      <w:r>
        <w:rPr>
          <w:sz w:val="20"/>
          <w:szCs w:val="20"/>
          <w:color w:val="auto"/>
        </w:rPr>
        <w:tab/>
      </w: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David Kostman</w:t>
      </w:r>
    </w:p>
    <w:p>
      <w:pPr>
        <w:spacing w:after="0" w:line="9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0"/>
          <w:szCs w:val="20"/>
          <w:color w:val="auto"/>
        </w:rPr>
        <w:t>Name: David Kostman</w:t>
      </w:r>
    </w:p>
    <w:p>
      <w:pPr>
        <w:spacing w:after="0" w:line="9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0"/>
          <w:szCs w:val="20"/>
          <w:color w:val="222222"/>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2026-06-08T15:25:45Z</dcterms:created>
  <dcterms:modified xsi:type="dcterms:W3CDTF">2026-06-08T15:25:45Z</dcterms:modified>
</cp:coreProperties>
</file>